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8B" w:rsidRPr="00371A8B" w:rsidRDefault="00371A8B" w:rsidP="00371A8B">
      <w:p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Christopher </w:t>
      </w:r>
      <w:r w:rsidRPr="00371A8B">
        <w:rPr>
          <w:rFonts w:ascii="Times New Roman" w:hAnsi="Times New Roman" w:cs="Times New Roman"/>
          <w:i/>
          <w:sz w:val="24"/>
          <w:szCs w:val="24"/>
        </w:rPr>
        <w:t>Anderson</w:t>
      </w:r>
    </w:p>
    <w:p w:rsidR="00371A8B" w:rsidRPr="009A4F30" w:rsidRDefault="00371A8B" w:rsidP="00371A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 23 February 2019, Zion Lutheran Dallas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8D745A" w:rsidRDefault="00371A8B" w:rsidP="00371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principles for accompanying congregational singing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Your immediate aim is c</w:t>
      </w:r>
      <w:r w:rsidRPr="00811DCA">
        <w:rPr>
          <w:rFonts w:ascii="Times New Roman" w:hAnsi="Times New Roman" w:cs="Times New Roman"/>
          <w:sz w:val="24"/>
          <w:szCs w:val="24"/>
        </w:rPr>
        <w:t>ompetence, not profundity.</w:t>
      </w:r>
    </w:p>
    <w:p w:rsidR="00371A8B" w:rsidRPr="00811DCA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Almost always, less is more (</w:t>
      </w:r>
      <w:proofErr w:type="gramStart"/>
      <w:r>
        <w:rPr>
          <w:rFonts w:ascii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hAnsi="Times New Roman" w:cs="Times New Roman"/>
          <w:sz w:val="24"/>
          <w:szCs w:val="24"/>
        </w:rPr>
        <w:t>. harmonic complexity, musical motion, character of introductions …).</w:t>
      </w:r>
    </w:p>
    <w:p w:rsidR="00371A8B" w:rsidRPr="00811DCA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11DCA">
        <w:rPr>
          <w:rFonts w:ascii="Times New Roman" w:hAnsi="Times New Roman" w:cs="Times New Roman"/>
          <w:sz w:val="24"/>
          <w:szCs w:val="24"/>
        </w:rPr>
        <w:t xml:space="preserve">Almost always, linear thinking is </w:t>
      </w:r>
      <w:r>
        <w:rPr>
          <w:rFonts w:ascii="Times New Roman" w:hAnsi="Times New Roman" w:cs="Times New Roman"/>
          <w:sz w:val="24"/>
          <w:szCs w:val="24"/>
        </w:rPr>
        <w:t>primary,</w:t>
      </w:r>
      <w:r w:rsidRPr="00811DCA">
        <w:rPr>
          <w:rFonts w:ascii="Times New Roman" w:hAnsi="Times New Roman" w:cs="Times New Roman"/>
          <w:sz w:val="24"/>
          <w:szCs w:val="24"/>
        </w:rPr>
        <w:t xml:space="preserve"> vertical thinking</w:t>
      </w:r>
      <w:r>
        <w:rPr>
          <w:rFonts w:ascii="Times New Roman" w:hAnsi="Times New Roman" w:cs="Times New Roman"/>
          <w:sz w:val="24"/>
          <w:szCs w:val="24"/>
        </w:rPr>
        <w:t xml:space="preserve"> secondary</w:t>
      </w:r>
      <w:r w:rsidRPr="00811DCA">
        <w:rPr>
          <w:rFonts w:ascii="Times New Roman" w:hAnsi="Times New Roman" w:cs="Times New Roman"/>
          <w:sz w:val="24"/>
          <w:szCs w:val="24"/>
        </w:rPr>
        <w:t>.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Without exception, the point of departure is the text. </w:t>
      </w:r>
    </w:p>
    <w:p w:rsidR="00371A8B" w:rsidRPr="00811DCA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74CA">
        <w:rPr>
          <w:rFonts w:ascii="Times New Roman" w:hAnsi="Times New Roman" w:cs="Times New Roman"/>
          <w:sz w:val="24"/>
          <w:szCs w:val="24"/>
        </w:rPr>
        <w:t>Musical parameters (texture, timbre, harmony, phrasing etc.) must</w:t>
      </w:r>
      <w:r>
        <w:rPr>
          <w:rFonts w:ascii="Times New Roman" w:hAnsi="Times New Roman" w:cs="Times New Roman"/>
          <w:sz w:val="24"/>
          <w:szCs w:val="24"/>
        </w:rPr>
        <w:t xml:space="preserve"> reinforce the form of </w:t>
      </w:r>
      <w:r w:rsidRPr="007E74CA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and tune</w:t>
      </w:r>
      <w:r w:rsidRPr="007E74CA">
        <w:rPr>
          <w:rFonts w:ascii="Times New Roman" w:hAnsi="Times New Roman" w:cs="Times New Roman"/>
          <w:sz w:val="24"/>
          <w:szCs w:val="24"/>
        </w:rPr>
        <w:t>.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74CA">
        <w:rPr>
          <w:rFonts w:ascii="Times New Roman" w:hAnsi="Times New Roman" w:cs="Times New Roman"/>
          <w:sz w:val="24"/>
          <w:szCs w:val="24"/>
        </w:rPr>
        <w:t>Harmonic strategy must create a logical architecture of cadences.</w:t>
      </w:r>
    </w:p>
    <w:p w:rsidR="00371A8B" w:rsidRPr="007E74CA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74CA">
        <w:rPr>
          <w:rFonts w:ascii="Times New Roman" w:hAnsi="Times New Roman" w:cs="Times New Roman"/>
          <w:sz w:val="24"/>
          <w:szCs w:val="24"/>
        </w:rPr>
        <w:t>In introductions, no marshmallow music, and no tone poems.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Intonations and introductions should communicate the key, tempo, and tune to the congregation. (Exceptions include proportional tempi worked out with a cantor, and introductions to songs so familiar that the tune need not be cited per se. 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Regarding all of the above, remember that supporting a congregation’s singing is a </w:t>
      </w:r>
      <w:r w:rsidRPr="00150862">
        <w:rPr>
          <w:rFonts w:ascii="Times New Roman" w:hAnsi="Times New Roman" w:cs="Times New Roman"/>
          <w:sz w:val="24"/>
          <w:szCs w:val="24"/>
          <w:u w:val="single"/>
        </w:rPr>
        <w:t>highly contextual task</w:t>
      </w:r>
      <w:r>
        <w:rPr>
          <w:rFonts w:ascii="Times New Roman" w:hAnsi="Times New Roman" w:cs="Times New Roman"/>
          <w:sz w:val="24"/>
          <w:szCs w:val="24"/>
        </w:rPr>
        <w:t xml:space="preserve"> dependent among other things upon:</w:t>
      </w:r>
    </w:p>
    <w:p w:rsidR="00371A8B" w:rsidRDefault="00371A8B" w:rsidP="00371A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traditions of the community</w:t>
      </w:r>
    </w:p>
    <w:p w:rsidR="00371A8B" w:rsidRDefault="00371A8B" w:rsidP="00371A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acoustics of the space</w:t>
      </w:r>
    </w:p>
    <w:p w:rsidR="00371A8B" w:rsidRDefault="00371A8B" w:rsidP="00371A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capabilities of the instrument to yield musical results</w:t>
      </w:r>
    </w:p>
    <w:p w:rsidR="00371A8B" w:rsidRDefault="00371A8B" w:rsidP="00371A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 of the piece in the liturgy.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A45842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Even in context of working out basic skills, you should begin to develop your original voice. You do not play for seventeenth-century North German congregations, or for nineteenth-century French congregations, or for Edwardian English congregations. Your approach may draw upon or allude to these and any number of other dialects, but outright imitation is, in my opinion, a bizarre anachronism in the service-playing context. 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Finally, consider this remark from Johannes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Tinctoris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DDA">
        <w:rPr>
          <w:rFonts w:ascii="Times New Roman" w:hAnsi="Times New Roman" w:cs="Times New Roman"/>
          <w:i/>
          <w:sz w:val="24"/>
          <w:szCs w:val="24"/>
        </w:rPr>
        <w:t>Art of Counterpoint</w:t>
      </w:r>
      <w:r>
        <w:rPr>
          <w:rFonts w:ascii="Times New Roman" w:hAnsi="Times New Roman" w:cs="Times New Roman"/>
          <w:sz w:val="24"/>
          <w:szCs w:val="24"/>
        </w:rPr>
        <w:t xml:space="preserve"> (1477), admittedly out-of-context but for our purposes not out-of-place: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442DDA" w:rsidRDefault="00371A8B" w:rsidP="0037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42DDA">
        <w:rPr>
          <w:rFonts w:ascii="Times New Roman" w:hAnsi="Times New Roman" w:cs="Times New Roman"/>
          <w:sz w:val="20"/>
          <w:szCs w:val="20"/>
        </w:rPr>
        <w:t xml:space="preserve">Horace says in his </w:t>
      </w:r>
      <w:r w:rsidRPr="00442DDA">
        <w:rPr>
          <w:rFonts w:ascii="Times New Roman" w:hAnsi="Times New Roman" w:cs="Times New Roman"/>
          <w:i/>
          <w:sz w:val="20"/>
          <w:szCs w:val="20"/>
        </w:rPr>
        <w:t>Poetics</w:t>
      </w:r>
      <w:r w:rsidRPr="00442DDA">
        <w:rPr>
          <w:rFonts w:ascii="Times New Roman" w:hAnsi="Times New Roman" w:cs="Times New Roman"/>
          <w:sz w:val="20"/>
          <w:szCs w:val="20"/>
        </w:rPr>
        <w:t xml:space="preserve">: “One who sings to the kithara is laughed at if he always wanders over the same string.” Wherefore, according to the opinion of </w:t>
      </w:r>
      <w:proofErr w:type="spellStart"/>
      <w:r w:rsidRPr="00442DDA">
        <w:rPr>
          <w:rFonts w:ascii="Times New Roman" w:hAnsi="Times New Roman" w:cs="Times New Roman"/>
          <w:sz w:val="20"/>
          <w:szCs w:val="20"/>
        </w:rPr>
        <w:t>Tullius</w:t>
      </w:r>
      <w:proofErr w:type="spellEnd"/>
      <w:r w:rsidRPr="00442DDA">
        <w:rPr>
          <w:rFonts w:ascii="Times New Roman" w:hAnsi="Times New Roman" w:cs="Times New Roman"/>
          <w:sz w:val="20"/>
          <w:szCs w:val="20"/>
        </w:rPr>
        <w:t xml:space="preserve"> [Cicero], as a variety in the art of speaking most delights the hearer, so also in music a diversity of harmonies vehemently provokes the souls of listeners into delight; hence the philosopher [Aristotle], in his </w:t>
      </w:r>
      <w:r w:rsidRPr="00442DDA">
        <w:rPr>
          <w:rFonts w:ascii="Times New Roman" w:hAnsi="Times New Roman" w:cs="Times New Roman"/>
          <w:i/>
          <w:sz w:val="20"/>
          <w:szCs w:val="20"/>
        </w:rPr>
        <w:t>Ethics</w:t>
      </w:r>
      <w:r w:rsidRPr="00442DDA">
        <w:rPr>
          <w:rFonts w:ascii="Times New Roman" w:hAnsi="Times New Roman" w:cs="Times New Roman"/>
          <w:sz w:val="20"/>
          <w:szCs w:val="20"/>
        </w:rPr>
        <w:t xml:space="preserve">, does not hesitate to state that variety is a most pleasant thing and human nature in need of it.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B3929">
        <w:rPr>
          <w:rFonts w:ascii="Times New Roman" w:hAnsi="Times New Roman" w:cs="Times New Roman"/>
          <w:i/>
          <w:sz w:val="20"/>
          <w:szCs w:val="20"/>
        </w:rPr>
        <w:t>Art of Counterpoint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1B3929">
        <w:rPr>
          <w:rFonts w:ascii="Times New Roman" w:hAnsi="Times New Roman" w:cs="Times New Roman"/>
          <w:i/>
          <w:sz w:val="20"/>
          <w:szCs w:val="20"/>
        </w:rPr>
        <w:t xml:space="preserve">Liber de arte </w:t>
      </w:r>
      <w:proofErr w:type="spellStart"/>
      <w:r w:rsidRPr="001B3929">
        <w:rPr>
          <w:rFonts w:ascii="Times New Roman" w:hAnsi="Times New Roman" w:cs="Times New Roman"/>
          <w:i/>
          <w:sz w:val="20"/>
          <w:szCs w:val="20"/>
        </w:rPr>
        <w:t>contrapuncti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], cited in Alexis </w:t>
      </w:r>
      <w:proofErr w:type="spellStart"/>
      <w:r>
        <w:rPr>
          <w:rFonts w:ascii="Times New Roman" w:hAnsi="Times New Roman" w:cs="Times New Roman"/>
          <w:sz w:val="20"/>
          <w:szCs w:val="20"/>
        </w:rPr>
        <w:t>Luko</w:t>
      </w:r>
      <w:proofErr w:type="spellEnd"/>
      <w:r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>
        <w:rPr>
          <w:rFonts w:ascii="Times New Roman" w:hAnsi="Times New Roman" w:cs="Times New Roman"/>
          <w:sz w:val="20"/>
          <w:szCs w:val="20"/>
        </w:rPr>
        <w:t>Tinctoris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Varietas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,” </w:t>
      </w:r>
      <w:r w:rsidRPr="001B3929">
        <w:rPr>
          <w:rFonts w:ascii="Times New Roman" w:hAnsi="Times New Roman" w:cs="Times New Roman"/>
          <w:i/>
          <w:sz w:val="20"/>
          <w:szCs w:val="20"/>
        </w:rPr>
        <w:t>Early Music History</w:t>
      </w:r>
      <w:r>
        <w:rPr>
          <w:rFonts w:ascii="Times New Roman" w:hAnsi="Times New Roman" w:cs="Times New Roman"/>
          <w:sz w:val="20"/>
          <w:szCs w:val="20"/>
        </w:rPr>
        <w:t xml:space="preserve"> 27 (2008): 129.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Cicero’s concept of public speaking, which furnishes </w:t>
      </w:r>
      <w:proofErr w:type="spellStart"/>
      <w:r>
        <w:rPr>
          <w:rFonts w:ascii="Times New Roman" w:hAnsi="Times New Roman" w:cs="Times New Roman"/>
          <w:sz w:val="24"/>
          <w:szCs w:val="24"/>
        </w:rPr>
        <w:t>Tinctoris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important model: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442DDA" w:rsidRDefault="00371A8B" w:rsidP="0037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42DDA">
        <w:rPr>
          <w:rFonts w:ascii="Times New Roman" w:hAnsi="Times New Roman" w:cs="Times New Roman"/>
          <w:sz w:val="20"/>
          <w:szCs w:val="20"/>
        </w:rPr>
        <w:t xml:space="preserve">No single style is fitting for every case or every audience or every person involved or every occasion … when choosing a type of speech — a fuller or more slender one, or indeed the middle type — we should see to it that it is adapted to the problem at hand … </w:t>
      </w:r>
      <w:r w:rsidRPr="001B3929">
        <w:rPr>
          <w:rFonts w:ascii="Times New Roman" w:hAnsi="Times New Roman" w:cs="Times New Roman"/>
          <w:sz w:val="20"/>
          <w:szCs w:val="20"/>
          <w:u w:val="single"/>
        </w:rPr>
        <w:t>the capacity to do what is appropriate is a matter of art and natural ability, but to know what is appropriate at each time is a matter of intelligence</w:t>
      </w:r>
      <w:r w:rsidRPr="00442DD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42DDA">
        <w:rPr>
          <w:rFonts w:ascii="Times New Roman" w:hAnsi="Times New Roman" w:cs="Times New Roman"/>
          <w:i/>
          <w:sz w:val="20"/>
          <w:szCs w:val="20"/>
        </w:rPr>
        <w:t>On the Ideal Orator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442DDA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442DDA">
        <w:rPr>
          <w:rFonts w:ascii="Times New Roman" w:hAnsi="Times New Roman" w:cs="Times New Roman"/>
          <w:i/>
          <w:sz w:val="20"/>
          <w:szCs w:val="20"/>
        </w:rPr>
        <w:t>Oratore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55 BCE], cited in </w:t>
      </w:r>
      <w:proofErr w:type="gramStart"/>
      <w:r>
        <w:rPr>
          <w:rFonts w:ascii="Times New Roman" w:hAnsi="Times New Roman" w:cs="Times New Roman"/>
          <w:sz w:val="20"/>
          <w:szCs w:val="20"/>
        </w:rPr>
        <w:t>Ibid.,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113. Emphasis mine.)</w:t>
      </w:r>
    </w:p>
    <w:p w:rsidR="000F604B" w:rsidRDefault="000F604B">
      <w:pPr>
        <w:rPr>
          <w:rFonts w:ascii="Times New Roman" w:hAnsi="Times New Roman" w:cs="Times New Roman"/>
          <w:sz w:val="24"/>
          <w:szCs w:val="24"/>
        </w:rPr>
      </w:pPr>
    </w:p>
    <w:p w:rsidR="00371A8B" w:rsidRDefault="00371A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71A8B" w:rsidRPr="008D745A" w:rsidRDefault="00371A8B" w:rsidP="00371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Some strategies for hymn playing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3D1825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825">
        <w:rPr>
          <w:rFonts w:ascii="Times New Roman" w:hAnsi="Times New Roman" w:cs="Times New Roman"/>
          <w:sz w:val="24"/>
          <w:szCs w:val="24"/>
          <w:u w:val="single"/>
        </w:rPr>
        <w:t>Basic techniques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à4 </w:t>
      </w:r>
      <w:proofErr w:type="spellStart"/>
      <w:r w:rsidRPr="00EB7877">
        <w:rPr>
          <w:rFonts w:ascii="Times New Roman" w:hAnsi="Times New Roman" w:cs="Times New Roman"/>
          <w:i/>
          <w:sz w:val="24"/>
          <w:szCs w:val="24"/>
          <w:u w:val="single"/>
        </w:rPr>
        <w:t>Kantional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as written, or simplified from written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3D1825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D1825">
        <w:rPr>
          <w:rFonts w:ascii="Times New Roman" w:hAnsi="Times New Roman" w:cs="Times New Roman"/>
          <w:sz w:val="24"/>
          <w:szCs w:val="24"/>
        </w:rPr>
        <w:t xml:space="preserve">ne manual </w:t>
      </w:r>
      <w:r>
        <w:rPr>
          <w:rFonts w:ascii="Times New Roman" w:hAnsi="Times New Roman" w:cs="Times New Roman"/>
          <w:sz w:val="24"/>
          <w:szCs w:val="24"/>
        </w:rPr>
        <w:t xml:space="preserve">(8’) </w:t>
      </w:r>
      <w:r w:rsidRPr="003D1825">
        <w:rPr>
          <w:rFonts w:ascii="Times New Roman" w:hAnsi="Times New Roman" w:cs="Times New Roman"/>
          <w:sz w:val="24"/>
          <w:szCs w:val="24"/>
        </w:rPr>
        <w:t>and pedal</w:t>
      </w:r>
      <w:r>
        <w:rPr>
          <w:rFonts w:ascii="Times New Roman" w:hAnsi="Times New Roman" w:cs="Times New Roman"/>
          <w:sz w:val="24"/>
          <w:szCs w:val="24"/>
        </w:rPr>
        <w:t xml:space="preserve"> (16’ or 8’)</w:t>
      </w:r>
    </w:p>
    <w:p w:rsidR="00371A8B" w:rsidRPr="003D1825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manual without pedal (8’ or 16’)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Tune RH on Man. I (8’), AT Man. II (8’)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(16’ or 8’)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at 4’, ATB on manual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3D1825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Textural variations with minimal harmonic variation (chromatic inflections)</w:t>
      </w:r>
    </w:p>
    <w:p w:rsidR="00371A8B" w:rsidRPr="009A4F30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Tune in soprano, harmony as full chords punctuated (à4–6+), +/–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Monophony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à2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single manual (8’ or 16’) species 1–5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bicinium</w:t>
      </w:r>
      <w:proofErr w:type="spellEnd"/>
      <w:r>
        <w:rPr>
          <w:rFonts w:ascii="Times New Roman" w:hAnsi="Times New Roman" w:cs="Times New Roman"/>
          <w:sz w:val="24"/>
          <w:szCs w:val="24"/>
        </w:rPr>
        <w:t>, tune RH on Man. I (8’), free counterpoint on Man. II (16’ or 8’), 5</w:t>
      </w:r>
      <w:r w:rsidRPr="007E74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bicinium</w:t>
      </w:r>
      <w:proofErr w:type="spellEnd"/>
      <w:r>
        <w:rPr>
          <w:rFonts w:ascii="Times New Roman" w:hAnsi="Times New Roman" w:cs="Times New Roman"/>
          <w:sz w:val="24"/>
          <w:szCs w:val="24"/>
        </w:rPr>
        <w:t>, tune LH on Man. I (8’ or 16’), free counterpoint on Man. II (8’), 5</w:t>
      </w:r>
      <w:r w:rsidRPr="007E74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à3 trio on a single manual (8’ or 16’) species 1–5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trio, tune RH on Man. I (8’) free counterpoint on Man. II (8’), +/–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(16’ or 8’), 5</w:t>
      </w:r>
      <w:r w:rsidRPr="00EB78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trio, tune LH on Man. I (8’) with counterpoint on Man. II (8’), +/–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(16’ or 8’), 5</w:t>
      </w:r>
      <w:r w:rsidRPr="00EB78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à4, tenor tune LH on Man. I (8’), SA on Man. (8’), B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(16’ or 8’)</w:t>
      </w:r>
    </w:p>
    <w:p w:rsidR="00371A8B" w:rsidRPr="009A4F30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Combinations of all the above, progressing from monophony to à2—à3—à4, delineated by phrase or otherwise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1A8B" w:rsidRPr="008D745A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More advanced harmonic variation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Isolated altered chords that depart from the written text (any texture)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Invented bass lines in </w:t>
      </w:r>
      <w:proofErr w:type="spellStart"/>
      <w:r w:rsidRPr="003060AE">
        <w:rPr>
          <w:rFonts w:ascii="Times New Roman" w:hAnsi="Times New Roman" w:cs="Times New Roman"/>
          <w:i/>
          <w:sz w:val="24"/>
          <w:szCs w:val="24"/>
        </w:rPr>
        <w:t>Kantionalsatz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à4, texture as (1.) above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3060AE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60AE">
        <w:rPr>
          <w:rFonts w:ascii="Times New Roman" w:hAnsi="Times New Roman" w:cs="Times New Roman"/>
          <w:sz w:val="24"/>
          <w:szCs w:val="24"/>
          <w:u w:val="single"/>
        </w:rPr>
        <w:t>Other techniques</w:t>
      </w:r>
      <w:r>
        <w:rPr>
          <w:rFonts w:ascii="Times New Roman" w:hAnsi="Times New Roman" w:cs="Times New Roman"/>
          <w:sz w:val="24"/>
          <w:szCs w:val="24"/>
          <w:u w:val="single"/>
        </w:rPr>
        <w:t>, applied to the above as appropriate</w:t>
      </w:r>
    </w:p>
    <w:p w:rsidR="00371A8B" w:rsidRPr="009A4F30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A516E1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Ornaments and other decorations of the tune</w:t>
      </w:r>
    </w:p>
    <w:p w:rsidR="00371A8B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 arrangements</w:t>
      </w:r>
    </w:p>
    <w:p w:rsidR="00371A8B" w:rsidRPr="00A516E1" w:rsidRDefault="00371A8B" w:rsidP="00371A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Pedal points</w:t>
      </w:r>
    </w:p>
    <w:p w:rsidR="00371A8B" w:rsidRDefault="00371A8B" w:rsidP="0037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Pr="009A4F30" w:rsidRDefault="00371A8B" w:rsidP="00371A8B">
      <w:p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F30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ntonations (partial tune), i</w:t>
      </w:r>
      <w:r w:rsidRPr="009A4F30">
        <w:rPr>
          <w:rFonts w:ascii="Times New Roman" w:hAnsi="Times New Roman" w:cs="Times New Roman"/>
          <w:sz w:val="24"/>
          <w:szCs w:val="24"/>
          <w:u w:val="single"/>
        </w:rPr>
        <w:t>ntroductions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(whole tune), and postludes</w:t>
      </w:r>
    </w:p>
    <w:p w:rsidR="00371A8B" w:rsidRDefault="00371A8B" w:rsidP="00371A8B">
      <w:p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B" w:rsidRDefault="00371A8B" w:rsidP="00371A8B">
      <w:pPr>
        <w:pStyle w:val="ListParagraph"/>
        <w:numPr>
          <w:ilvl w:val="0"/>
          <w:numId w:val="3"/>
        </w:num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Approaches that draw upon any of the above, alone or in combination</w:t>
      </w:r>
    </w:p>
    <w:p w:rsidR="00371A8B" w:rsidRDefault="00371A8B" w:rsidP="00371A8B">
      <w:pPr>
        <w:pStyle w:val="ListParagraph"/>
        <w:numPr>
          <w:ilvl w:val="0"/>
          <w:numId w:val="3"/>
        </w:num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Ostinato figures derived from the tune (bass or otherwise)</w:t>
      </w:r>
    </w:p>
    <w:p w:rsidR="00371A8B" w:rsidRDefault="00371A8B" w:rsidP="00371A8B">
      <w:pPr>
        <w:pStyle w:val="ListParagraph"/>
        <w:numPr>
          <w:ilvl w:val="0"/>
          <w:numId w:val="3"/>
        </w:num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Tune-derived points of imitation, BTAS or otherwise (S or B always last)</w:t>
      </w:r>
    </w:p>
    <w:p w:rsidR="00371A8B" w:rsidRDefault="00371A8B" w:rsidP="00371A8B">
      <w:pPr>
        <w:pStyle w:val="ListParagraph"/>
        <w:numPr>
          <w:ilvl w:val="0"/>
          <w:numId w:val="3"/>
        </w:num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Phrase expansion by tune-derived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fughetta</w:t>
      </w:r>
      <w:proofErr w:type="spellEnd"/>
      <w:r>
        <w:rPr>
          <w:rFonts w:ascii="Times New Roman" w:hAnsi="Times New Roman" w:cs="Times New Roman"/>
          <w:sz w:val="24"/>
          <w:szCs w:val="24"/>
        </w:rPr>
        <w:t>, BTAS or otherwise (S or B always last)</w:t>
      </w:r>
    </w:p>
    <w:p w:rsidR="00371A8B" w:rsidRPr="009A4F30" w:rsidRDefault="00371A8B" w:rsidP="00371A8B">
      <w:pPr>
        <w:pStyle w:val="ListParagraph"/>
        <w:numPr>
          <w:ilvl w:val="0"/>
          <w:numId w:val="3"/>
        </w:numPr>
        <w:tabs>
          <w:tab w:val="left" w:pos="2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Derivation of substantial independent motives for use with 20.–23.</w:t>
      </w:r>
    </w:p>
    <w:p w:rsidR="00371A8B" w:rsidRPr="00371A8B" w:rsidRDefault="00371A8B">
      <w:pPr>
        <w:rPr>
          <w:rFonts w:ascii="Times New Roman" w:hAnsi="Times New Roman" w:cs="Times New Roman"/>
          <w:sz w:val="24"/>
          <w:szCs w:val="24"/>
        </w:rPr>
      </w:pPr>
    </w:p>
    <w:sectPr w:rsidR="00371A8B" w:rsidRPr="00371A8B" w:rsidSect="00A43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6C4"/>
    <w:multiLevelType w:val="hybridMultilevel"/>
    <w:tmpl w:val="D69A5340"/>
    <w:lvl w:ilvl="0" w:tplc="DBC23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31E10"/>
    <w:multiLevelType w:val="hybridMultilevel"/>
    <w:tmpl w:val="9482BE76"/>
    <w:lvl w:ilvl="0" w:tplc="3CF884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48A9"/>
    <w:multiLevelType w:val="hybridMultilevel"/>
    <w:tmpl w:val="9482BE76"/>
    <w:lvl w:ilvl="0" w:tplc="3CF884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8B"/>
    <w:rsid w:val="000F604B"/>
    <w:rsid w:val="003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1C29"/>
  <w15:chartTrackingRefBased/>
  <w15:docId w15:val="{88868155-8FC5-42E3-8A7D-201544E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Chris</dc:creator>
  <cp:keywords/>
  <dc:description/>
  <cp:lastModifiedBy>Anderson, Chris</cp:lastModifiedBy>
  <cp:revision>1</cp:revision>
  <dcterms:created xsi:type="dcterms:W3CDTF">2019-02-19T16:34:00Z</dcterms:created>
  <dcterms:modified xsi:type="dcterms:W3CDTF">2019-02-19T16:38:00Z</dcterms:modified>
</cp:coreProperties>
</file>